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10C" w:rsidRPr="0025510C" w:rsidRDefault="0025510C" w:rsidP="0025510C">
      <w:pPr>
        <w:spacing w:after="0" w:line="360" w:lineRule="auto"/>
        <w:jc w:val="both"/>
        <w:outlineLvl w:val="0"/>
        <w:rPr>
          <w:caps/>
          <w:lang w:val="en-US"/>
        </w:rPr>
      </w:pPr>
      <w:r w:rsidRPr="0025510C">
        <w:rPr>
          <w:b/>
          <w:caps/>
          <w:lang w:val="en-US"/>
        </w:rPr>
        <w:t>Complex ethical issues in long-term neurological diseases</w:t>
      </w:r>
    </w:p>
    <w:p w:rsidR="0025510C" w:rsidRPr="0025510C" w:rsidRDefault="0025510C" w:rsidP="0025510C">
      <w:pPr>
        <w:spacing w:after="0" w:line="360" w:lineRule="auto"/>
        <w:jc w:val="both"/>
        <w:outlineLvl w:val="0"/>
        <w:rPr>
          <w:lang w:val="en-US"/>
        </w:rPr>
      </w:pPr>
      <w:r w:rsidRPr="0025510C">
        <w:rPr>
          <w:lang w:val="en-US"/>
        </w:rPr>
        <w:t>Abstract</w:t>
      </w:r>
    </w:p>
    <w:p w:rsidR="00946178" w:rsidRPr="0025510C" w:rsidRDefault="00946178" w:rsidP="00946178">
      <w:pPr>
        <w:spacing w:after="0" w:line="360" w:lineRule="auto"/>
        <w:jc w:val="both"/>
        <w:outlineLvl w:val="0"/>
        <w:rPr>
          <w:b/>
          <w:caps/>
          <w:lang w:val="en-US"/>
        </w:rPr>
      </w:pPr>
      <w:r w:rsidRPr="0025510C">
        <w:rPr>
          <w:b/>
          <w:caps/>
          <w:lang w:val="en-US"/>
        </w:rPr>
        <w:t>Julian C. Hughes</w:t>
      </w:r>
    </w:p>
    <w:p w:rsidR="00946178" w:rsidRPr="0025510C" w:rsidRDefault="00946178" w:rsidP="00946178">
      <w:pPr>
        <w:spacing w:after="0" w:line="360" w:lineRule="auto"/>
        <w:jc w:val="both"/>
        <w:outlineLvl w:val="0"/>
        <w:rPr>
          <w:lang w:val="en-US"/>
        </w:rPr>
      </w:pPr>
    </w:p>
    <w:p w:rsidR="00946178" w:rsidRPr="0025510C" w:rsidRDefault="00946178" w:rsidP="00C73875">
      <w:pPr>
        <w:autoSpaceDE w:val="0"/>
        <w:autoSpaceDN w:val="0"/>
        <w:adjustRightInd w:val="0"/>
        <w:spacing w:after="0" w:line="240" w:lineRule="auto"/>
        <w:jc w:val="both"/>
        <w:rPr>
          <w:rFonts w:cs="Arial"/>
          <w:lang w:val="en-US"/>
        </w:rPr>
      </w:pPr>
      <w:bookmarkStart w:id="0" w:name="_GoBack"/>
      <w:r w:rsidRPr="0025510C">
        <w:rPr>
          <w:rFonts w:cs="Arial"/>
          <w:lang w:val="en-US"/>
        </w:rPr>
        <w:t>There are so many ethical issues in long-term neurological diseases that it seems sensible to try to give a framework to think about them. I shall start, therefore, by giving an overview of the ethical framework used in the Nuffield Council on Bioethics in their report on dementia. My feeling is that, although all neurological diseases are different, and they different in particular ways, nevertheless all long-term neurological diseases share features in common. I’ll present some specific examples of ethical issues that arise in neurological conditions. I shall consider two specific ethical doctrines that might guide us in our thinking about ethical issues, particularly at the end of life. Finally, I shall return to broader themes.</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I should just say, very briefly, that the Nuffield Council on Bioethics is the UK’s closest thing to a national bioethics committee. It is an independent deliberative body which aims to comment on the bioethical implications of advances in medicine and science. The report on neurological conditions appeared in 2009 following the deliberations of a working party over 18 months. The full report is available on its website.</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But first of all I want to set this in a context. Dilemmas in chronic neurological diseases are </w:t>
      </w:r>
      <w:proofErr w:type="spellStart"/>
      <w:r w:rsidRPr="0025510C">
        <w:rPr>
          <w:rFonts w:cs="Arial"/>
          <w:lang w:val="en-US"/>
        </w:rPr>
        <w:t>everyday</w:t>
      </w:r>
      <w:proofErr w:type="spellEnd"/>
      <w:r w:rsidRPr="0025510C">
        <w:rPr>
          <w:rFonts w:cs="Arial"/>
          <w:lang w:val="en-US"/>
        </w:rPr>
        <w:t xml:space="preserve">. Many of the ordinary, day-to-day decisions that have to be made by the stressed, unpaid, usually family </w:t>
      </w:r>
      <w:proofErr w:type="spellStart"/>
      <w:r w:rsidRPr="0025510C">
        <w:rPr>
          <w:rFonts w:cs="Arial"/>
          <w:lang w:val="en-US"/>
        </w:rPr>
        <w:t>carers</w:t>
      </w:r>
      <w:proofErr w:type="spellEnd"/>
      <w:r w:rsidRPr="0025510C">
        <w:rPr>
          <w:rFonts w:cs="Arial"/>
          <w:lang w:val="en-US"/>
        </w:rPr>
        <w:t xml:space="preserve"> of people with neurological conditions are difficult </w:t>
      </w:r>
      <w:r w:rsidRPr="0025510C">
        <w:rPr>
          <w:rFonts w:cs="Arial"/>
          <w:i/>
          <w:lang w:val="en-US"/>
        </w:rPr>
        <w:t>precisely</w:t>
      </w:r>
      <w:r w:rsidRPr="0025510C">
        <w:rPr>
          <w:rFonts w:cs="Arial"/>
          <w:lang w:val="en-US"/>
        </w:rPr>
        <w:t xml:space="preserve"> because they are </w:t>
      </w:r>
      <w:r w:rsidRPr="0025510C">
        <w:rPr>
          <w:rFonts w:cs="Arial"/>
          <w:i/>
          <w:lang w:val="en-US"/>
        </w:rPr>
        <w:t>ethical</w:t>
      </w:r>
      <w:r w:rsidRPr="0025510C">
        <w:rPr>
          <w:rFonts w:cs="Arial"/>
          <w:lang w:val="en-US"/>
        </w:rPr>
        <w:t xml:space="preserve">. The </w:t>
      </w:r>
      <w:proofErr w:type="spellStart"/>
      <w:r w:rsidRPr="0025510C">
        <w:rPr>
          <w:rFonts w:cs="Arial"/>
          <w:lang w:val="en-US"/>
        </w:rPr>
        <w:t>carers</w:t>
      </w:r>
      <w:proofErr w:type="spellEnd"/>
      <w:r w:rsidRPr="0025510C">
        <w:rPr>
          <w:rFonts w:cs="Arial"/>
          <w:lang w:val="en-US"/>
        </w:rPr>
        <w:t xml:space="preserve"> are often asking, in effect, what is the </w:t>
      </w:r>
      <w:r w:rsidRPr="0025510C">
        <w:rPr>
          <w:rFonts w:cs="Arial"/>
          <w:i/>
          <w:lang w:val="en-US"/>
        </w:rPr>
        <w:t>right</w:t>
      </w:r>
      <w:r w:rsidRPr="0025510C">
        <w:rPr>
          <w:rFonts w:cs="Arial"/>
          <w:lang w:val="en-US"/>
        </w:rPr>
        <w:t xml:space="preserve"> thing to do? Or, am I doing the </w:t>
      </w:r>
      <w:r w:rsidRPr="0025510C">
        <w:rPr>
          <w:rFonts w:cs="Arial"/>
          <w:i/>
          <w:lang w:val="en-US"/>
        </w:rPr>
        <w:t>wrong</w:t>
      </w:r>
      <w:r w:rsidRPr="0025510C">
        <w:rPr>
          <w:rFonts w:cs="Arial"/>
          <w:lang w:val="en-US"/>
        </w:rPr>
        <w:t xml:space="preserve"> thing? Some years ago a wife of someone with dementia told me that the most difficult decision she faced concerned when to take over tasks from her husband. He was always the man who fixed things around the house, but increasingly the jobs were messed up. The difficult decision, therefore, for his wife was: when should she call in someone to fix a door that was causing problems? She </w:t>
      </w:r>
      <w:r w:rsidRPr="0025510C">
        <w:rPr>
          <w:rFonts w:cs="Arial"/>
          <w:i/>
          <w:lang w:val="en-US"/>
        </w:rPr>
        <w:t>knew</w:t>
      </w:r>
      <w:r w:rsidRPr="0025510C">
        <w:rPr>
          <w:rFonts w:cs="Arial"/>
          <w:lang w:val="en-US"/>
        </w:rPr>
        <w:t xml:space="preserve"> that this would greatly upset her husband, that it would undermine his self-esteem and irritate him. But she could no longer watch his frustration when he was not able to do the job himself. Deciding when and how to deal with this situation was for her a real moral dilemma. Care for people with neurological conditions is full of mundane, but nonetheless difficult decisions of an ethical nature.</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The ethical framework has six components: a methodology for approaching ethical decisions; two beliefs about the nature of such conditions; and a set of interlinked ethical values. </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The methodology involves taking a case-based approach to ethical decisions. It involves identifying the relevant and particular facts for a given situation. These then require interpretation and appropriate ethical values have to be applied. The case-based approach also involves comparing one situation with similar situations. The key thing is to spot the important moral differences between seemingly similar cases. It is then that the application of appropriate values comes into play. We should note that different types of condition will, on this basis, need to be considered individually: motor </w:t>
      </w:r>
      <w:proofErr w:type="spellStart"/>
      <w:r w:rsidRPr="0025510C">
        <w:rPr>
          <w:rFonts w:cs="Arial"/>
          <w:lang w:val="en-US"/>
        </w:rPr>
        <w:t>neurone</w:t>
      </w:r>
      <w:proofErr w:type="spellEnd"/>
      <w:r w:rsidRPr="0025510C">
        <w:rPr>
          <w:rFonts w:cs="Arial"/>
          <w:lang w:val="en-US"/>
        </w:rPr>
        <w:t xml:space="preserve"> disease will be very different to dementia when, for instance, one is thinking about respiratory support.</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The first of the two beliefs about the nature of neurological conditions to be stressed is that the sort of chronic conditions we’re thinking about arise as a result of brain disorders. This may seem obvious, but it’s worth stressing in order to emphasize that neurological conditions are </w:t>
      </w:r>
      <w:r w:rsidRPr="0025510C">
        <w:rPr>
          <w:rFonts w:cs="Arial"/>
          <w:i/>
          <w:lang w:val="en-US"/>
        </w:rPr>
        <w:t>harmful</w:t>
      </w:r>
      <w:r w:rsidRPr="0025510C">
        <w:rPr>
          <w:rFonts w:cs="Arial"/>
          <w:lang w:val="en-US"/>
        </w:rPr>
        <w:t xml:space="preserve"> to the individual. They are harmful in the same way that heart disease, or renal failure, or cancer are harmful. Nevertheless, the second belief is that, with good care and support, people with neurological conditions should expect to have a good quality of life. In dementia care, for instance, it is often said that you can </w:t>
      </w:r>
      <w:r w:rsidRPr="0025510C">
        <w:rPr>
          <w:rFonts w:cs="Arial"/>
          <w:i/>
          <w:lang w:val="en-US"/>
        </w:rPr>
        <w:t>live well</w:t>
      </w:r>
      <w:r w:rsidRPr="0025510C">
        <w:rPr>
          <w:rFonts w:cs="Arial"/>
          <w:lang w:val="en-US"/>
        </w:rPr>
        <w:t xml:space="preserve"> with dementia, but only if the support, which must be biological, psychological, social and spiritual, is optimal. You might guess that these two beliefs should impel us to consider the importance of research. Something as harmful as neurological disease requires good quality research, which in turn will support and encourage good quality care and is, therefore, an ethical imperative.</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The fourth component of the ethical framework is to promote the interests of the person with a neurological condition and the interests of the person’s </w:t>
      </w:r>
      <w:proofErr w:type="spellStart"/>
      <w:r w:rsidRPr="0025510C">
        <w:rPr>
          <w:rFonts w:cs="Arial"/>
          <w:lang w:val="en-US"/>
        </w:rPr>
        <w:t>carers</w:t>
      </w:r>
      <w:proofErr w:type="spellEnd"/>
      <w:r w:rsidRPr="0025510C">
        <w:rPr>
          <w:rFonts w:cs="Arial"/>
          <w:lang w:val="en-US"/>
        </w:rPr>
        <w:t xml:space="preserve">. There are two prongs to the idea of promoting interests. First, there is the well-known principle of autonomy (or self-rule). But we wish to emphasize that autonomy </w:t>
      </w:r>
      <w:r w:rsidRPr="0025510C">
        <w:rPr>
          <w:rFonts w:cs="Arial"/>
          <w:lang w:val="en-US"/>
        </w:rPr>
        <w:lastRenderedPageBreak/>
        <w:t xml:space="preserve">is not just about the possibility of </w:t>
      </w:r>
      <w:r w:rsidRPr="0025510C">
        <w:rPr>
          <w:rFonts w:cs="Arial"/>
          <w:i/>
          <w:lang w:val="en-US"/>
        </w:rPr>
        <w:t>rational choice</w:t>
      </w:r>
      <w:r w:rsidRPr="0025510C">
        <w:rPr>
          <w:rFonts w:cs="Arial"/>
          <w:lang w:val="en-US"/>
        </w:rPr>
        <w:t xml:space="preserve"> by individuals. On the view of the Nuffield Council’s working party, it also includes supporting important relationships, supporting the person and supporting attempts to express the person’s values. But the need to promote autonomy has to be balanced against the need to promote well-being. This includes the moment-to-moment experiences of contentment, as well as the person's level of mental ability or their level of general health. Real well-being in neurological diseases may depend more – especially as these diseases progress – on ensuring that well-being is maintained through small-scale moment-to-moment interactions and experiences. I’m talking about just acknowledging the person as you pass by, just saying “hello” to them and, if you are English, commenting on the weather and discussing the likelihood of it improving!</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The fifth component, to which I shall return, is that of solidarity. This is the belief that people with neurological conditions are fellow citizens and that we are all fellow </w:t>
      </w:r>
      <w:proofErr w:type="spellStart"/>
      <w:r w:rsidRPr="0025510C">
        <w:rPr>
          <w:rFonts w:cs="Arial"/>
          <w:lang w:val="en-US"/>
        </w:rPr>
        <w:t>travellers</w:t>
      </w:r>
      <w:proofErr w:type="spellEnd"/>
      <w:r w:rsidRPr="0025510C">
        <w:rPr>
          <w:rFonts w:cs="Arial"/>
          <w:lang w:val="en-US"/>
        </w:rPr>
        <w:t xml:space="preserve">. We need to recognize our mutual </w:t>
      </w:r>
      <w:r w:rsidRPr="0025510C">
        <w:rPr>
          <w:rFonts w:cs="Arial"/>
          <w:i/>
          <w:lang w:val="en-US"/>
        </w:rPr>
        <w:t>inter</w:t>
      </w:r>
      <w:r w:rsidRPr="0025510C">
        <w:rPr>
          <w:rFonts w:cs="Arial"/>
          <w:lang w:val="en-US"/>
        </w:rPr>
        <w:t xml:space="preserve">dependence, which in turn suggests that we have a duty to support people with neurological disease and to support their </w:t>
      </w:r>
      <w:proofErr w:type="spellStart"/>
      <w:r w:rsidRPr="0025510C">
        <w:rPr>
          <w:rFonts w:cs="Arial"/>
          <w:lang w:val="en-US"/>
        </w:rPr>
        <w:t>carers</w:t>
      </w:r>
      <w:proofErr w:type="spellEnd"/>
      <w:r w:rsidRPr="0025510C">
        <w:rPr>
          <w:rFonts w:cs="Arial"/>
          <w:lang w:val="en-US"/>
        </w:rPr>
        <w:t xml:space="preserve">, since it is by doing so that we demonstrate our solidarity with them. </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The final component of the ethical framework, is to do with the notion of personhood and the importance of recognizing the individual as a </w:t>
      </w:r>
      <w:r w:rsidRPr="0025510C">
        <w:rPr>
          <w:rFonts w:cs="Arial"/>
          <w:i/>
          <w:lang w:val="en-US"/>
        </w:rPr>
        <w:t>person</w:t>
      </w:r>
      <w:r w:rsidRPr="0025510C">
        <w:rPr>
          <w:rFonts w:cs="Arial"/>
          <w:lang w:val="en-US"/>
        </w:rPr>
        <w:t xml:space="preserve"> with a neurological condition. Our view is that a person with such a condition remains the </w:t>
      </w:r>
      <w:r w:rsidRPr="0025510C">
        <w:rPr>
          <w:rFonts w:cs="Arial"/>
          <w:i/>
          <w:lang w:val="en-US"/>
        </w:rPr>
        <w:t>same</w:t>
      </w:r>
      <w:r w:rsidRPr="0025510C">
        <w:rPr>
          <w:rFonts w:cs="Arial"/>
          <w:lang w:val="en-US"/>
        </w:rPr>
        <w:t xml:space="preserve"> person despite changes in mood, cognition and </w:t>
      </w:r>
      <w:proofErr w:type="spellStart"/>
      <w:r w:rsidRPr="0025510C">
        <w:rPr>
          <w:rFonts w:cs="Arial"/>
          <w:lang w:val="en-US"/>
        </w:rPr>
        <w:t>behaviour</w:t>
      </w:r>
      <w:proofErr w:type="spellEnd"/>
      <w:r w:rsidRPr="0025510C">
        <w:rPr>
          <w:rFonts w:cs="Arial"/>
          <w:lang w:val="en-US"/>
        </w:rPr>
        <w:t xml:space="preserve">. A person with a neurological disorder is of equal value to a person without one. In the world of dementia care, it was Tom </w:t>
      </w:r>
      <w:proofErr w:type="spellStart"/>
      <w:r w:rsidRPr="0025510C">
        <w:rPr>
          <w:rFonts w:cs="Arial"/>
          <w:lang w:val="en-US"/>
        </w:rPr>
        <w:t>Kitwood</w:t>
      </w:r>
      <w:proofErr w:type="spellEnd"/>
      <w:r w:rsidRPr="0025510C">
        <w:rPr>
          <w:rFonts w:cs="Arial"/>
          <w:lang w:val="en-US"/>
        </w:rPr>
        <w:t xml:space="preserve"> from the Bradford Dementia Group, who showed how personhood can be maintained by other people. But, equally, what </w:t>
      </w:r>
      <w:proofErr w:type="spellStart"/>
      <w:r w:rsidRPr="0025510C">
        <w:rPr>
          <w:rFonts w:cs="Arial"/>
          <w:lang w:val="en-US"/>
        </w:rPr>
        <w:t>Kitwood</w:t>
      </w:r>
      <w:proofErr w:type="spellEnd"/>
      <w:r w:rsidRPr="0025510C">
        <w:rPr>
          <w:rFonts w:cs="Arial"/>
          <w:lang w:val="en-US"/>
        </w:rPr>
        <w:t xml:space="preserve"> called a “malignant social psychology”, could quickly undermine the standing of the person with a neurological disease. This was clearly in the mind of the wife, whom I mentioned at the start, of the man who used to fix things around the house. Nothing we might do socially or psychologically should make worse the biological pathology.</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In summary, therefore, the ethical framework involves the case-based approach to ethical decisions, the complementary beliefs that neurological conditions are harmful, but that with good care and support people with such conditions can live well, the need to promote both autonomy and well-being and then to show solidarity with the person with a neurological disease and his or her </w:t>
      </w:r>
      <w:proofErr w:type="spellStart"/>
      <w:r w:rsidRPr="0025510C">
        <w:rPr>
          <w:rFonts w:cs="Arial"/>
          <w:lang w:val="en-US"/>
        </w:rPr>
        <w:t>carers</w:t>
      </w:r>
      <w:proofErr w:type="spellEnd"/>
      <w:r w:rsidRPr="0025510C">
        <w:rPr>
          <w:rFonts w:cs="Arial"/>
          <w:lang w:val="en-US"/>
        </w:rPr>
        <w:t xml:space="preserve">, whilst at the same time recognizing the essential value of the person, which persists because the person with the neurological disease remains a </w:t>
      </w:r>
      <w:r w:rsidRPr="0025510C">
        <w:rPr>
          <w:rFonts w:cs="Arial"/>
          <w:i/>
          <w:u w:val="single"/>
          <w:lang w:val="en-US"/>
        </w:rPr>
        <w:t>person</w:t>
      </w:r>
      <w:r w:rsidRPr="0025510C">
        <w:rPr>
          <w:rFonts w:cs="Arial"/>
          <w:lang w:val="en-US"/>
        </w:rPr>
        <w:t xml:space="preserve"> with the disease, where all the emphasis is on </w:t>
      </w:r>
      <w:r w:rsidRPr="0025510C">
        <w:rPr>
          <w:rFonts w:cs="Arial"/>
          <w:i/>
          <w:lang w:val="en-US"/>
        </w:rPr>
        <w:t>person</w:t>
      </w:r>
      <w:r w:rsidRPr="0025510C">
        <w:rPr>
          <w:rFonts w:cs="Arial"/>
          <w:lang w:val="en-US"/>
        </w:rPr>
        <w:t xml:space="preserve"> and not on the disease.</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With this framework in mind, let me move on to consider some of the specific ethical dilemmas that arise in the context of care for people with neurological conditions. One issue is to do with telling the person that they have the condition. There’s a lot of debate about this in connection with dementia: is it sometimes too early to tell someone? I think there is now, more or less, a consensus that people </w:t>
      </w:r>
      <w:r w:rsidRPr="0025510C">
        <w:rPr>
          <w:rFonts w:cs="Arial"/>
          <w:i/>
          <w:lang w:val="en-US"/>
        </w:rPr>
        <w:t>should</w:t>
      </w:r>
      <w:r w:rsidRPr="0025510C">
        <w:rPr>
          <w:rFonts w:cs="Arial"/>
          <w:lang w:val="en-US"/>
        </w:rPr>
        <w:t xml:space="preserve"> be told their diagnoses and certainly should be offered the </w:t>
      </w:r>
      <w:r w:rsidRPr="0025510C">
        <w:rPr>
          <w:rFonts w:cs="Arial"/>
          <w:i/>
          <w:lang w:val="en-US"/>
        </w:rPr>
        <w:t>possibility</w:t>
      </w:r>
      <w:r w:rsidRPr="0025510C">
        <w:rPr>
          <w:rFonts w:cs="Arial"/>
          <w:lang w:val="en-US"/>
        </w:rPr>
        <w:t xml:space="preserve"> of being told their diagnoses, but the issue is not clear-cut. The Nuffield Council’s working party highlighted the importance of a ‘timely diagnosis’. It has to be timely both for the person with the neurological condition and for his or her family. In general, a diagnosis is likely to be timely at the point where the neurological, cognitive and other changes that people are experiencing begin to affect their lives and the lives of the people close to them. But thinking about diagnosis stresses the importance of good quality assessment and support from the moment there’s concern. Of course, this is more problematic as the possibility of predicting disease long before it is evident becomes an increasing reality.</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In dementia and in other chronic neurological conditions, driving is a sensitive ethical issue. There will come a point at which people with such conditions should not drive. In the early stages, however, the risks posed by mild neurological impairments are no greater, and may be less, than the risks posed by young male teenage drivers. The standing of a person with a neurological condition </w:t>
      </w:r>
      <w:r w:rsidRPr="0025510C">
        <w:rPr>
          <w:rFonts w:cs="Arial"/>
          <w:i/>
          <w:lang w:val="en-US"/>
        </w:rPr>
        <w:t>as a person</w:t>
      </w:r>
      <w:r w:rsidRPr="0025510C">
        <w:rPr>
          <w:rFonts w:cs="Arial"/>
          <w:lang w:val="en-US"/>
        </w:rPr>
        <w:t xml:space="preserve"> is hugely undermined when they can no longer drive. Sensitive handling and adequate, regular, proper assessment are required.  A similar concern, for </w:t>
      </w:r>
      <w:proofErr w:type="spellStart"/>
      <w:r w:rsidRPr="0025510C">
        <w:rPr>
          <w:rFonts w:cs="Arial"/>
          <w:lang w:val="en-US"/>
        </w:rPr>
        <w:t>carers</w:t>
      </w:r>
      <w:proofErr w:type="spellEnd"/>
      <w:r w:rsidRPr="0025510C">
        <w:rPr>
          <w:rFonts w:cs="Arial"/>
          <w:lang w:val="en-US"/>
        </w:rPr>
        <w:t xml:space="preserve"> of people with dementia, is the worry about wandering, where again the person needs to be dealt with sensitively as an individual. </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Increasingly, worries about wandering and the like are matched by an interest in assistive technology, which is then relevant to people with a variety of neurological conditions. Assistive technology is about an impressive array of gadgets, from electronic tagging and tracking devices to smart homes where devices can sense if someone falls and where prompts can be given to help the person make a cup of tea. All of this seems </w:t>
      </w:r>
      <w:r w:rsidRPr="0025510C">
        <w:rPr>
          <w:rFonts w:cs="Arial"/>
          <w:lang w:val="en-US"/>
        </w:rPr>
        <w:lastRenderedPageBreak/>
        <w:t xml:space="preserve">hugely to the good. But there are concerns about the intrusion on privacy, about stigma attached to certain forms of tracking device and about the risk that this sort of technology will lessen real human contact. The conclusion in the working party was that the use of assistive technology should be considered on a case by case basis taking into account the person’s </w:t>
      </w:r>
      <w:r w:rsidRPr="0025510C">
        <w:rPr>
          <w:rFonts w:cs="Arial"/>
          <w:i/>
          <w:lang w:val="en-US"/>
        </w:rPr>
        <w:t>own views</w:t>
      </w:r>
      <w:r w:rsidRPr="0025510C">
        <w:rPr>
          <w:rFonts w:cs="Arial"/>
          <w:lang w:val="en-US"/>
        </w:rPr>
        <w:t xml:space="preserve"> about privacy, the likely </w:t>
      </w:r>
      <w:r w:rsidRPr="0025510C">
        <w:rPr>
          <w:rFonts w:cs="Arial"/>
          <w:i/>
          <w:lang w:val="en-US"/>
        </w:rPr>
        <w:t>actual</w:t>
      </w:r>
      <w:r w:rsidRPr="0025510C">
        <w:rPr>
          <w:rFonts w:cs="Arial"/>
          <w:lang w:val="en-US"/>
        </w:rPr>
        <w:t xml:space="preserve"> benefit, the </w:t>
      </w:r>
      <w:r w:rsidRPr="0025510C">
        <w:rPr>
          <w:rFonts w:cs="Arial"/>
          <w:i/>
          <w:lang w:val="en-US"/>
        </w:rPr>
        <w:t xml:space="preserve">impact on the </w:t>
      </w:r>
      <w:proofErr w:type="spellStart"/>
      <w:r w:rsidRPr="0025510C">
        <w:rPr>
          <w:rFonts w:cs="Arial"/>
          <w:i/>
          <w:lang w:val="en-US"/>
        </w:rPr>
        <w:t>carer’s</w:t>
      </w:r>
      <w:proofErr w:type="spellEnd"/>
      <w:r w:rsidRPr="0025510C">
        <w:rPr>
          <w:rFonts w:cs="Arial"/>
          <w:lang w:val="en-US"/>
        </w:rPr>
        <w:t xml:space="preserve"> interests and the </w:t>
      </w:r>
      <w:r w:rsidRPr="0025510C">
        <w:rPr>
          <w:rFonts w:cs="Arial"/>
          <w:i/>
          <w:lang w:val="en-US"/>
        </w:rPr>
        <w:t>dangers of loss of human contact</w:t>
      </w:r>
      <w:r w:rsidRPr="0025510C">
        <w:rPr>
          <w:rFonts w:cs="Arial"/>
          <w:lang w:val="en-US"/>
        </w:rPr>
        <w:t>. This brings us to the concept of risk.</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Taking risks is an inherent part of our everyday lives; a life without any form of risk would be unimaginable. We have to recognize that, when caring for someone with neurological disorders, minimizing risk often means foregoing benefits and restricting freedom, which in turn may be highly detrimental both to the person's sense of autonomy, and to their overall well-being. We should not just have risk assessments, we should have risk-</w:t>
      </w:r>
      <w:r w:rsidRPr="0025510C">
        <w:rPr>
          <w:rFonts w:cs="Arial"/>
          <w:i/>
          <w:lang w:val="en-US"/>
        </w:rPr>
        <w:t>benefit</w:t>
      </w:r>
      <w:r w:rsidRPr="0025510C">
        <w:rPr>
          <w:rFonts w:cs="Arial"/>
          <w:lang w:val="en-US"/>
        </w:rPr>
        <w:t xml:space="preserve"> assessments. Life without risk is </w:t>
      </w:r>
      <w:r w:rsidRPr="0025510C">
        <w:rPr>
          <w:rFonts w:cs="Arial"/>
          <w:i/>
          <w:lang w:val="en-US"/>
        </w:rPr>
        <w:t>impoverished</w:t>
      </w:r>
      <w:r w:rsidRPr="0025510C">
        <w:rPr>
          <w:rFonts w:cs="Arial"/>
          <w:lang w:val="en-US"/>
        </w:rPr>
        <w:t xml:space="preserve"> and, if it’s harder to consider benefits and how to achieve them, this should be driven by the prospect of </w:t>
      </w:r>
      <w:r w:rsidRPr="0025510C">
        <w:rPr>
          <w:rFonts w:cs="Arial"/>
          <w:i/>
          <w:lang w:val="en-US"/>
        </w:rPr>
        <w:t>richer</w:t>
      </w:r>
      <w:r w:rsidRPr="0025510C">
        <w:rPr>
          <w:rFonts w:cs="Arial"/>
          <w:lang w:val="en-US"/>
        </w:rPr>
        <w:t xml:space="preserve"> lives.</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Next, there is a whole set of concerns about acute hospitals. From the perspective of many people with neurological conditions, acute hospitals are large, noisy and confusing places and frankly dangerous. Think of the person with Parkinson’s disease with a degree of confusion and unstable walking. </w:t>
      </w:r>
      <w:r w:rsidRPr="0025510C">
        <w:rPr>
          <w:rFonts w:cs="Arial"/>
          <w:i/>
          <w:lang w:val="en-US"/>
        </w:rPr>
        <w:t>Of course</w:t>
      </w:r>
      <w:r w:rsidRPr="0025510C">
        <w:rPr>
          <w:rFonts w:cs="Arial"/>
          <w:lang w:val="en-US"/>
        </w:rPr>
        <w:t xml:space="preserve"> people with neurological disease will sometimes need hospital services. But, equally, hospital admissions can result in inappropriate care. People with dementia, for instance, are often over-investigated and probably over-treated in some ways (for example, given artificial feeding) and under-treated in others (for example, not given enough pain relief).  The worry is that, when very ill, people with neurological conditions are transferred into acute hospitals despite the evidence that aggressive treatment, when the person is already very frail, is unlikely to work and is likely to be a burden to the person. The evidence concerning treatment of severe pneumonia in the terminal stages of neurological diseases will need to be considered case-by-case: in some cases intravenous antibiotics may be useful, but in many cases palliative care might be all that is required; in other cases antibiotics might be regarded </w:t>
      </w:r>
      <w:r w:rsidRPr="0025510C">
        <w:rPr>
          <w:rFonts w:cs="Arial"/>
          <w:i/>
          <w:lang w:val="en-US"/>
        </w:rPr>
        <w:t>as themselves</w:t>
      </w:r>
      <w:r w:rsidRPr="0025510C">
        <w:rPr>
          <w:rFonts w:cs="Arial"/>
          <w:lang w:val="en-US"/>
        </w:rPr>
        <w:t xml:space="preserve"> palliative. Sometimes, trying to keep an intravenous line going in the person who is confused and frightened in an unfamiliar environment will simply be upsetting for all concerned. Much better, therefore, to give good quality nursing care in the place where the person lives. Similar things can be said for artificial feeding in the tail-end of neurological conditions; and, in addition, cardiopulmonary resuscitation in advanced neurological conditions will often seem inappropriate. </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Indeed, it’s perhaps the ethical issues at the end of life that seem most troubling. In part the difficulties are compounded by a lack of good quality </w:t>
      </w:r>
      <w:r w:rsidRPr="0025510C">
        <w:rPr>
          <w:rFonts w:cs="Arial"/>
          <w:i/>
          <w:lang w:val="en-US"/>
        </w:rPr>
        <w:t>palliative</w:t>
      </w:r>
      <w:r w:rsidRPr="0025510C">
        <w:rPr>
          <w:rFonts w:cs="Arial"/>
          <w:lang w:val="en-US"/>
        </w:rPr>
        <w:t xml:space="preserve"> care for people with neurological conditions. We need better understandings of what palliative care means in the context of such conditions and how to respond to the central moral difficulties in neurological conditions that result if and when the person loses the capacity to make decisions. Proper assessment of mental decision-making capacity (or competence) is also, therefore, an ethical matter. Encouraging sensible advance care planning, with realism, is also an ethical imperative, but must itself be performed with attention to the individual’s needs and capabilities.</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At the end of life there are two ethical doctrines that seem very pertinent, which I shall now discuss briefly. The first is the doctrine of double effect, the second is the doctrine of ordinary and extraordinary means.</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The doctrine of double effect suggests that it is all right to do something with foreseen bad effects as long as the bad effects were not intended. Doctors like this: every time we give someone a medication, we can foresee the side effects, but we don’t intend them. Philosophers hate the doctrine because they say it’s just playing with words, as if we could simply say to ourselves, “Well, I didn’t intend the patient to die, so that’s OK (even if I foresaw that he might)”. But this doctrine contains a little more than that. </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It suggests, for instance, that an intention can be embodied in an action. In an action there is something that is aimed at and that aim or goal is contained in the intention of the action. Pointing a gun at someone’s head and pulling the trigger </w:t>
      </w:r>
      <w:r w:rsidRPr="0025510C">
        <w:rPr>
          <w:rFonts w:cs="Arial"/>
          <w:i/>
          <w:lang w:val="en-US"/>
        </w:rPr>
        <w:t>just is</w:t>
      </w:r>
      <w:r w:rsidRPr="0025510C">
        <w:rPr>
          <w:rFonts w:cs="Arial"/>
          <w:lang w:val="en-US"/>
        </w:rPr>
        <w:t xml:space="preserve"> to aim at the death of someone; it’s the intention embodied in the action. The aim of a standard dose of analgesia is pain relief, whether or not anything else happens, such as foreseen side effects. The same might be said of sedation.</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The doctrine of ordinary and extraordinary means states that we are only morally obliged to do the ordinary things, even if we can do the extraordinary. What then is extraordinary? Well, if the treatment (or investigation) is unlikely to be effective or if the treatment (or investigation) is likely to be burdensome, then it is extraordinary and we are not obliged to do it, even if we are not prohibited from doing it. For example, cardiopulmonary resuscitation in advanced cancer or advanced dementia would be unlikely to work and </w:t>
      </w:r>
      <w:r w:rsidRPr="0025510C">
        <w:rPr>
          <w:rFonts w:cs="Arial"/>
          <w:lang w:val="en-US"/>
        </w:rPr>
        <w:lastRenderedPageBreak/>
        <w:t xml:space="preserve">would be burdensome, so we are not morally obliged to resuscitate people under these circumstances. This also avoids arguments about the quality of someone’s life – arguments that rely on subjective judgements which can easily be wrong or misplaced. </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This doctrine was used and commended by Pope John Paul II, who wrote: ‘…certainly there is a moral obligation to care for oneself and to allow oneself to be cared for, but this duty must take account of concrete circumstances. It needs to be determined whether the means of treatment available are objectively proportionate to the prospects for improvement. To forego extraordinary or disproportionate means is not the equivalent of suicide or euthanasia; it rather expresses acceptance of the human condition in the face of death’. The importance of the “concrete circumstances” and the idea of accepting “the human condition in the face of death” seem to me to be immensely important in palliative care.</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To return to the notion of solidarity, there is plenty of evidence that people with neurological conditions and their </w:t>
      </w:r>
      <w:proofErr w:type="spellStart"/>
      <w:r w:rsidRPr="0025510C">
        <w:rPr>
          <w:rFonts w:cs="Arial"/>
          <w:lang w:val="en-US"/>
        </w:rPr>
        <w:t>carers</w:t>
      </w:r>
      <w:proofErr w:type="spellEnd"/>
      <w:r w:rsidRPr="0025510C">
        <w:rPr>
          <w:rFonts w:cs="Arial"/>
          <w:lang w:val="en-US"/>
        </w:rPr>
        <w:t xml:space="preserve"> are stigmatized. I know a story of a man who was a lifelong runner who, as soon as he had a diagnosis of dementia, was told that he should no longer run in case he might get lost. The people who used to run with him stopped visiting. This is a common enough story: people with neurological diseases and their </w:t>
      </w:r>
      <w:proofErr w:type="spellStart"/>
      <w:r w:rsidRPr="0025510C">
        <w:rPr>
          <w:rFonts w:cs="Arial"/>
          <w:lang w:val="en-US"/>
        </w:rPr>
        <w:t>carers</w:t>
      </w:r>
      <w:proofErr w:type="spellEnd"/>
      <w:r w:rsidRPr="0025510C">
        <w:rPr>
          <w:rFonts w:cs="Arial"/>
          <w:lang w:val="en-US"/>
        </w:rPr>
        <w:t xml:space="preserve"> suddenly find that friends are no longer in touch and no longer come to see them. </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But “solidarity” also means inclusion. People with neurological conditions and their </w:t>
      </w:r>
      <w:proofErr w:type="spellStart"/>
      <w:r w:rsidRPr="0025510C">
        <w:rPr>
          <w:rFonts w:cs="Arial"/>
          <w:lang w:val="en-US"/>
        </w:rPr>
        <w:t>carers</w:t>
      </w:r>
      <w:proofErr w:type="spellEnd"/>
      <w:r w:rsidRPr="0025510C">
        <w:rPr>
          <w:rFonts w:cs="Arial"/>
          <w:lang w:val="en-US"/>
        </w:rPr>
        <w:t xml:space="preserve"> still wish to be able to enjoy going out to the theatre, going out to eat meals, attending religious ceremonies. In short, they wish to do all the things that add quality to anyone's lives. We need to make sure that people are enabled to do this even if it’s tricky. Respite care, for instance, should not only give the </w:t>
      </w:r>
      <w:proofErr w:type="spellStart"/>
      <w:r w:rsidRPr="0025510C">
        <w:rPr>
          <w:rFonts w:cs="Arial"/>
          <w:lang w:val="en-US"/>
        </w:rPr>
        <w:t>carer</w:t>
      </w:r>
      <w:proofErr w:type="spellEnd"/>
      <w:r w:rsidRPr="0025510C">
        <w:rPr>
          <w:rFonts w:cs="Arial"/>
          <w:lang w:val="en-US"/>
        </w:rPr>
        <w:t xml:space="preserve"> a break, but should also create social activities and engagement for the person with the condition. We need a new focus on chronic neurological diseases, one that is in line with the aspirations of disability rights: a person with disabilities can still enjoy and exercise citizenship. The United Nations' Convention on the Rights of Persons with Disabilities is as applicable to chronic neurological conditions as it is to any other form of disability.</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To conclude, the ethical challenge starts and ends with the person with the neurological condition. But we have to see the person as essentially a </w:t>
      </w:r>
      <w:r w:rsidRPr="0025510C">
        <w:rPr>
          <w:rFonts w:cs="Arial"/>
          <w:i/>
          <w:lang w:val="en-US"/>
        </w:rPr>
        <w:t>situated</w:t>
      </w:r>
      <w:r w:rsidRPr="0025510C">
        <w:rPr>
          <w:rFonts w:cs="Arial"/>
          <w:lang w:val="en-US"/>
        </w:rPr>
        <w:t xml:space="preserve"> being. He or she is not an isolated atom, but someone situated in a family, in a community, with a culture and history. This means that those around the person must be supported in their </w:t>
      </w:r>
      <w:proofErr w:type="spellStart"/>
      <w:r w:rsidRPr="0025510C">
        <w:rPr>
          <w:rFonts w:cs="Arial"/>
          <w:lang w:val="en-US"/>
        </w:rPr>
        <w:t>endeavours</w:t>
      </w:r>
      <w:proofErr w:type="spellEnd"/>
      <w:r w:rsidRPr="0025510C">
        <w:rPr>
          <w:rFonts w:cs="Arial"/>
          <w:lang w:val="en-US"/>
        </w:rPr>
        <w:t xml:space="preserve"> to maintain the dignity and selfhood of the individual. But these families and communities are themselves part of the wider society and body politic. So this is a state and national issue. The common good, the imperative of solidarity, mean that </w:t>
      </w:r>
      <w:proofErr w:type="spellStart"/>
      <w:r w:rsidRPr="0025510C">
        <w:rPr>
          <w:rFonts w:cs="Arial"/>
          <w:lang w:val="en-US"/>
        </w:rPr>
        <w:t>organisations</w:t>
      </w:r>
      <w:proofErr w:type="spellEnd"/>
      <w:r w:rsidRPr="0025510C">
        <w:rPr>
          <w:rFonts w:cs="Arial"/>
          <w:lang w:val="en-US"/>
        </w:rPr>
        <w:t xml:space="preserve">, institutions and governments must face up to the challenges that surround the care of people with neurological conditions, because this is a human moral necessity. The challenges are ethical challenges at the individual level; but they also pose social, legal and political challenges. </w:t>
      </w:r>
    </w:p>
    <w:p w:rsidR="00946178" w:rsidRPr="0025510C" w:rsidRDefault="00946178" w:rsidP="00C73875">
      <w:pPr>
        <w:autoSpaceDE w:val="0"/>
        <w:autoSpaceDN w:val="0"/>
        <w:adjustRightInd w:val="0"/>
        <w:spacing w:after="0" w:line="240" w:lineRule="auto"/>
        <w:jc w:val="both"/>
        <w:rPr>
          <w:rFonts w:cs="Arial"/>
          <w:lang w:val="en-US"/>
        </w:rPr>
      </w:pPr>
      <w:r w:rsidRPr="0025510C">
        <w:rPr>
          <w:rFonts w:cs="Arial"/>
          <w:lang w:val="en-US"/>
        </w:rPr>
        <w:t xml:space="preserve">We need to promote autonomy and well-being, to include people with neurological conditions in society, to </w:t>
      </w:r>
      <w:proofErr w:type="spellStart"/>
      <w:r w:rsidRPr="0025510C">
        <w:rPr>
          <w:rFonts w:cs="Arial"/>
          <w:lang w:val="en-US"/>
        </w:rPr>
        <w:t>recognise</w:t>
      </w:r>
      <w:proofErr w:type="spellEnd"/>
      <w:r w:rsidRPr="0025510C">
        <w:rPr>
          <w:rFonts w:cs="Arial"/>
          <w:lang w:val="en-US"/>
        </w:rPr>
        <w:t xml:space="preserve"> the needs of </w:t>
      </w:r>
      <w:proofErr w:type="spellStart"/>
      <w:r w:rsidRPr="0025510C">
        <w:rPr>
          <w:rFonts w:cs="Arial"/>
          <w:lang w:val="en-US"/>
        </w:rPr>
        <w:t>carers</w:t>
      </w:r>
      <w:proofErr w:type="spellEnd"/>
      <w:r w:rsidRPr="0025510C">
        <w:rPr>
          <w:rFonts w:cs="Arial"/>
          <w:lang w:val="en-US"/>
        </w:rPr>
        <w:t xml:space="preserve"> and to pursue research. But we also need to see that all clinical and legal decisions are at one and the same time ethical in nature and that most dilemmas are day-to-day issues. So we cannot escape the necessity for individual responsibility for the ethical decisions we must make every day.</w:t>
      </w:r>
    </w:p>
    <w:p w:rsidR="00946178" w:rsidRPr="0025510C" w:rsidRDefault="00946178" w:rsidP="00C73875">
      <w:pPr>
        <w:autoSpaceDE w:val="0"/>
        <w:autoSpaceDN w:val="0"/>
        <w:adjustRightInd w:val="0"/>
        <w:spacing w:after="0" w:line="240" w:lineRule="auto"/>
        <w:jc w:val="both"/>
        <w:rPr>
          <w:rFonts w:cs="Arial"/>
          <w:lang w:val="en-US"/>
        </w:rPr>
      </w:pPr>
    </w:p>
    <w:bookmarkEnd w:id="0"/>
    <w:p w:rsidR="0047767F" w:rsidRPr="0025510C" w:rsidRDefault="0047767F" w:rsidP="00C73875">
      <w:pPr>
        <w:spacing w:after="0" w:line="240" w:lineRule="auto"/>
        <w:jc w:val="both"/>
        <w:rPr>
          <w:lang w:val="en-US"/>
        </w:rPr>
      </w:pPr>
    </w:p>
    <w:sectPr w:rsidR="0047767F" w:rsidRPr="0025510C" w:rsidSect="00FD5B3D">
      <w:headerReference w:type="even" r:id="rId6"/>
      <w:headerReference w:type="default" r:id="rId7"/>
      <w:footerReference w:type="even" r:id="rId8"/>
      <w:footerReference w:type="default" r:id="rId9"/>
      <w:headerReference w:type="first" r:id="rId10"/>
      <w:footerReference w:type="first" r:id="rId11"/>
      <w:pgSz w:w="11906" w:h="16838"/>
      <w:pgMar w:top="1843" w:right="1134" w:bottom="1134" w:left="1134" w:header="22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A84" w:rsidRDefault="000D3A84" w:rsidP="0047767F">
      <w:pPr>
        <w:spacing w:after="0" w:line="240" w:lineRule="auto"/>
      </w:pPr>
      <w:r>
        <w:separator/>
      </w:r>
    </w:p>
  </w:endnote>
  <w:endnote w:type="continuationSeparator" w:id="0">
    <w:p w:rsidR="000D3A84" w:rsidRDefault="000D3A84" w:rsidP="00477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B3D" w:rsidRDefault="00FD5B3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9237363"/>
      <w:docPartObj>
        <w:docPartGallery w:val="Page Numbers (Bottom of Page)"/>
        <w:docPartUnique/>
      </w:docPartObj>
    </w:sdtPr>
    <w:sdtEndPr/>
    <w:sdtContent>
      <w:p w:rsidR="00FD5B3D" w:rsidRDefault="00FD5B3D">
        <w:pPr>
          <w:pStyle w:val="Pidipagina"/>
          <w:jc w:val="right"/>
        </w:pPr>
        <w:r>
          <w:fldChar w:fldCharType="begin"/>
        </w:r>
        <w:r>
          <w:instrText>PAGE   \* MERGEFORMAT</w:instrText>
        </w:r>
        <w:r>
          <w:fldChar w:fldCharType="separate"/>
        </w:r>
        <w:r w:rsidR="00C73875">
          <w:rPr>
            <w:noProof/>
          </w:rPr>
          <w:t>4</w:t>
        </w:r>
        <w:r>
          <w:fldChar w:fldCharType="end"/>
        </w:r>
      </w:p>
    </w:sdtContent>
  </w:sdt>
  <w:p w:rsidR="0047767F" w:rsidRDefault="0047767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2347226"/>
      <w:docPartObj>
        <w:docPartGallery w:val="Page Numbers (Bottom of Page)"/>
        <w:docPartUnique/>
      </w:docPartObj>
    </w:sdtPr>
    <w:sdtEndPr/>
    <w:sdtContent>
      <w:p w:rsidR="00770232" w:rsidRDefault="00770232">
        <w:pPr>
          <w:pStyle w:val="Pidipagina"/>
          <w:jc w:val="right"/>
        </w:pPr>
        <w:r>
          <w:fldChar w:fldCharType="begin"/>
        </w:r>
        <w:r>
          <w:instrText>PAGE   \* MERGEFORMAT</w:instrText>
        </w:r>
        <w:r>
          <w:fldChar w:fldCharType="separate"/>
        </w:r>
        <w:r>
          <w:rPr>
            <w:noProof/>
          </w:rPr>
          <w:t>1</w:t>
        </w:r>
        <w:r>
          <w:fldChar w:fldCharType="end"/>
        </w:r>
      </w:p>
    </w:sdtContent>
  </w:sdt>
  <w:p w:rsidR="0047767F" w:rsidRPr="0047767F" w:rsidRDefault="0047767F" w:rsidP="0047767F">
    <w:pPr>
      <w:pStyle w:val="Pidipagina"/>
      <w:spacing w:before="4"/>
      <w:ind w:left="-42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A84" w:rsidRDefault="000D3A84" w:rsidP="0047767F">
      <w:pPr>
        <w:spacing w:after="0" w:line="240" w:lineRule="auto"/>
      </w:pPr>
      <w:r>
        <w:separator/>
      </w:r>
    </w:p>
  </w:footnote>
  <w:footnote w:type="continuationSeparator" w:id="0">
    <w:p w:rsidR="000D3A84" w:rsidRDefault="000D3A84" w:rsidP="00477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B3D" w:rsidRDefault="00FD5B3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r>
      <w:rPr>
        <w:noProof/>
        <w:lang w:eastAsia="it-IT"/>
      </w:rPr>
      <w:drawing>
        <wp:anchor distT="0" distB="0" distL="114300" distR="114300" simplePos="0" relativeHeight="251664384" behindDoc="0" locked="1" layoutInCell="1" allowOverlap="1" wp14:anchorId="6A82AF2B" wp14:editId="3286E1E8">
          <wp:simplePos x="0" y="0"/>
          <wp:positionH relativeFrom="column">
            <wp:posOffset>-180340</wp:posOffset>
          </wp:positionH>
          <wp:positionV relativeFrom="page">
            <wp:posOffset>431800</wp:posOffset>
          </wp:positionV>
          <wp:extent cx="1087200" cy="504000"/>
          <wp:effectExtent l="0" t="0" r="0" b="0"/>
          <wp:wrapNone/>
          <wp:docPr id="48" name="Immagine 48" descr="FSR_esec_vert_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R_esec_vert_digi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r>
      <w:rPr>
        <w:noProof/>
        <w:lang w:eastAsia="it-IT"/>
      </w:rPr>
      <w:drawing>
        <wp:anchor distT="0" distB="0" distL="114300" distR="114300" simplePos="0" relativeHeight="251658240" behindDoc="0" locked="1" layoutInCell="1" allowOverlap="1">
          <wp:simplePos x="0" y="0"/>
          <wp:positionH relativeFrom="column">
            <wp:posOffset>-180340</wp:posOffset>
          </wp:positionH>
          <wp:positionV relativeFrom="page">
            <wp:posOffset>431800</wp:posOffset>
          </wp:positionV>
          <wp:extent cx="1087200" cy="504000"/>
          <wp:effectExtent l="0" t="0" r="0" b="0"/>
          <wp:wrapNone/>
          <wp:docPr id="45" name="Immagine 45" descr="FSR_esec_vert_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R_esec_vert_digi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283"/>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67F"/>
    <w:rsid w:val="000D3A84"/>
    <w:rsid w:val="0012421B"/>
    <w:rsid w:val="00125901"/>
    <w:rsid w:val="00150EFC"/>
    <w:rsid w:val="001C63AB"/>
    <w:rsid w:val="0025510C"/>
    <w:rsid w:val="004428F0"/>
    <w:rsid w:val="0047767F"/>
    <w:rsid w:val="00510AA7"/>
    <w:rsid w:val="00770232"/>
    <w:rsid w:val="0081068F"/>
    <w:rsid w:val="00946178"/>
    <w:rsid w:val="009A4A70"/>
    <w:rsid w:val="00BE1AFB"/>
    <w:rsid w:val="00C73875"/>
    <w:rsid w:val="00FC294A"/>
    <w:rsid w:val="00FD5B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CD08AFAF-A1C4-46E4-A2A9-91B5FDF8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e">
    <w:name w:val="Normal"/>
    <w:qFormat/>
    <w:rsid w:val="001C63AB"/>
    <w:pPr>
      <w:spacing w:after="200" w:line="276" w:lineRule="auto"/>
    </w:pPr>
    <w:rPr>
      <w:lang w:val="it-CH"/>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7767F"/>
    <w:pPr>
      <w:tabs>
        <w:tab w:val="center" w:pos="4819"/>
        <w:tab w:val="right" w:pos="9638"/>
      </w:tabs>
      <w:spacing w:after="0" w:line="240" w:lineRule="auto"/>
    </w:pPr>
    <w:rPr>
      <w:lang w:val="it-IT"/>
    </w:rPr>
  </w:style>
  <w:style w:type="character" w:customStyle="1" w:styleId="IntestazioneCarattere">
    <w:name w:val="Intestazione Carattere"/>
    <w:basedOn w:val="Carpredefinitoparagrafo"/>
    <w:link w:val="Intestazione"/>
    <w:uiPriority w:val="99"/>
    <w:rsid w:val="0047767F"/>
  </w:style>
  <w:style w:type="paragraph" w:styleId="Pidipagina">
    <w:name w:val="footer"/>
    <w:basedOn w:val="Normale"/>
    <w:link w:val="PidipaginaCarattere"/>
    <w:uiPriority w:val="99"/>
    <w:unhideWhenUsed/>
    <w:rsid w:val="0047767F"/>
    <w:pPr>
      <w:tabs>
        <w:tab w:val="center" w:pos="4819"/>
        <w:tab w:val="right" w:pos="9638"/>
      </w:tabs>
      <w:spacing w:after="0" w:line="240" w:lineRule="auto"/>
    </w:pPr>
    <w:rPr>
      <w:lang w:val="it-IT"/>
    </w:rPr>
  </w:style>
  <w:style w:type="character" w:customStyle="1" w:styleId="PidipaginaCarattere">
    <w:name w:val="Piè di pagina Carattere"/>
    <w:basedOn w:val="Carpredefinitoparagrafo"/>
    <w:link w:val="Pidipagina"/>
    <w:uiPriority w:val="99"/>
    <w:rsid w:val="0047767F"/>
  </w:style>
  <w:style w:type="character" w:styleId="Collegamentoipertestuale">
    <w:name w:val="Hyperlink"/>
    <w:uiPriority w:val="99"/>
    <w:unhideWhenUsed/>
    <w:rsid w:val="0047767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52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2824</Words>
  <Characters>16102</Characters>
  <Application>Microsoft Office Word</Application>
  <DocSecurity>0</DocSecurity>
  <Lines>134</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Iorio</dc:creator>
  <cp:keywords/>
  <dc:description/>
  <cp:lastModifiedBy>Vespasiano Restante</cp:lastModifiedBy>
  <cp:revision>8</cp:revision>
  <dcterms:created xsi:type="dcterms:W3CDTF">2016-11-04T14:34:00Z</dcterms:created>
  <dcterms:modified xsi:type="dcterms:W3CDTF">2016-11-09T12:29:00Z</dcterms:modified>
</cp:coreProperties>
</file>